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hint="eastAsia" w:ascii="黑体" w:eastAsia="黑体"/>
          <w:color w:val="000000"/>
          <w:sz w:val="32"/>
          <w:szCs w:val="32"/>
        </w:rPr>
      </w:pPr>
      <w:r>
        <w:rPr>
          <w:rFonts w:hint="eastAsia" w:ascii="黑体" w:eastAsia="黑体"/>
          <w:color w:val="000000"/>
          <w:sz w:val="32"/>
          <w:szCs w:val="32"/>
        </w:rPr>
        <w:t>附件2</w:t>
      </w:r>
    </w:p>
    <w:p>
      <w:pPr>
        <w:spacing w:line="600" w:lineRule="exact"/>
        <w:ind w:firstLine="660" w:firstLineChars="150"/>
        <w:rPr>
          <w:rFonts w:hint="eastAsia" w:ascii="黑体" w:hAnsi="黑体" w:eastAsia="黑体"/>
          <w:color w:val="000000"/>
          <w:sz w:val="44"/>
          <w:szCs w:val="44"/>
        </w:rPr>
      </w:pPr>
    </w:p>
    <w:p>
      <w:pPr>
        <w:spacing w:line="600" w:lineRule="exact"/>
        <w:ind w:firstLine="2200" w:firstLineChars="500"/>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rPr>
        <w:t>报送材料的有关事项</w:t>
      </w:r>
    </w:p>
    <w:p>
      <w:pPr>
        <w:spacing w:line="600" w:lineRule="exact"/>
        <w:rPr>
          <w:rFonts w:ascii="仿宋_GB2312" w:hAnsi="黑体" w:eastAsia="仿宋_GB2312"/>
          <w:color w:val="000000"/>
          <w:sz w:val="32"/>
          <w:szCs w:val="32"/>
        </w:rPr>
      </w:pPr>
    </w:p>
    <w:p>
      <w:pPr>
        <w:spacing w:line="60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为规范报送材料，确保后续材料审理工作顺利完成，现将材料报送的有关事项明确如下：</w:t>
      </w:r>
    </w:p>
    <w:p>
      <w:pPr>
        <w:numPr>
          <w:ilvl w:val="0"/>
          <w:numId w:val="1"/>
        </w:numPr>
        <w:spacing w:line="600" w:lineRule="exact"/>
        <w:rPr>
          <w:rFonts w:hint="eastAsia" w:ascii="黑体" w:hAnsi="黑体" w:eastAsia="黑体"/>
          <w:color w:val="000000"/>
          <w:sz w:val="32"/>
          <w:szCs w:val="32"/>
        </w:rPr>
      </w:pPr>
      <w:r>
        <w:rPr>
          <w:rFonts w:hint="eastAsia" w:ascii="黑体" w:hAnsi="黑体" w:eastAsia="黑体"/>
          <w:color w:val="000000"/>
          <w:sz w:val="32"/>
          <w:szCs w:val="32"/>
        </w:rPr>
        <w:t>材料报送清单</w:t>
      </w:r>
    </w:p>
    <w:p>
      <w:pPr>
        <w:spacing w:line="600" w:lineRule="exact"/>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材料清单放在报送材料首页，按照推荐单位、序号、发明、名称、专利号、申报人名称（单位或个人）、申报金额、页码（某页-某页）的顺序逐项填写清楚，材料清单末尾，注明联系人和联系方式，材料清单由推荐单位加盖公章（详见</w:t>
      </w:r>
      <w:r>
        <w:rPr>
          <w:rFonts w:ascii="仿宋_GB2312" w:hAnsi="黑体" w:eastAsia="仿宋_GB2312"/>
          <w:color w:val="000000"/>
          <w:sz w:val="32"/>
          <w:szCs w:val="32"/>
        </w:rPr>
        <w:t>附件</w:t>
      </w:r>
      <w:r>
        <w:rPr>
          <w:rFonts w:hint="eastAsia" w:ascii="仿宋_GB2312" w:hAnsi="黑体" w:eastAsia="仿宋_GB2312"/>
          <w:color w:val="000000"/>
          <w:sz w:val="32"/>
          <w:szCs w:val="32"/>
        </w:rPr>
        <w:t>4）。</w:t>
      </w:r>
    </w:p>
    <w:p>
      <w:pPr>
        <w:numPr>
          <w:ilvl w:val="0"/>
          <w:numId w:val="1"/>
        </w:numPr>
        <w:spacing w:line="600" w:lineRule="exact"/>
        <w:rPr>
          <w:rFonts w:hint="eastAsia" w:ascii="仿宋_GB2312" w:hAnsi="黑体" w:eastAsia="仿宋_GB2312"/>
          <w:color w:val="000000"/>
          <w:sz w:val="32"/>
          <w:szCs w:val="32"/>
        </w:rPr>
      </w:pPr>
      <w:r>
        <w:rPr>
          <w:rFonts w:hint="eastAsia" w:ascii="黑体" w:hAnsi="黑体" w:eastAsia="黑体"/>
          <w:color w:val="000000"/>
          <w:sz w:val="32"/>
          <w:szCs w:val="32"/>
        </w:rPr>
        <w:t>材料整理顺序</w:t>
      </w:r>
    </w:p>
    <w:p>
      <w:pPr>
        <w:spacing w:line="600" w:lineRule="exact"/>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按照以下顺序进行整理和装订。</w:t>
      </w:r>
    </w:p>
    <w:p>
      <w:pPr>
        <w:spacing w:line="60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（一）材料报送清单</w:t>
      </w:r>
    </w:p>
    <w:p>
      <w:pPr>
        <w:spacing w:line="600" w:lineRule="exact"/>
        <w:ind w:firstLine="627" w:firstLineChars="196"/>
        <w:rPr>
          <w:rFonts w:hint="eastAsia" w:ascii="方正小标宋简体" w:eastAsia="方正小标宋简体"/>
          <w:color w:val="000000"/>
          <w:sz w:val="44"/>
          <w:szCs w:val="44"/>
        </w:rPr>
      </w:pPr>
      <w:r>
        <w:rPr>
          <w:rFonts w:hint="eastAsia" w:ascii="仿宋_GB2312" w:eastAsia="仿宋_GB2312"/>
          <w:color w:val="000000"/>
          <w:sz w:val="32"/>
          <w:szCs w:val="32"/>
        </w:rPr>
        <w:t>（二）河南省国外申请专利资助资金申请汇总表（加盖</w:t>
      </w:r>
      <w:r>
        <w:rPr>
          <w:rFonts w:hint="eastAsia" w:ascii="仿宋_GB2312" w:hAnsi="黑体" w:eastAsia="仿宋_GB2312"/>
          <w:color w:val="000000"/>
          <w:sz w:val="32"/>
          <w:szCs w:val="32"/>
        </w:rPr>
        <w:t>省辖市、省直管县（市）知识产权相关部门公章</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（三）《河南省国外申请专利资助资金申请表》</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（四）有关证明文件。</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1.国外专利授权证书复印件；</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2.资助申请人为企事业单位、机关团体所提供的企业营业执照、事业法人登记证或社团法人登记证复印件；资助申请人为个人所提供的身份证明复印件；</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3.专利权人为二名以上，由第一权利人提出的资助申请和其他共同权利人提供的同意资助签章委托书。</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4.委托专利代理机构代理的相关材料。</w:t>
      </w:r>
    </w:p>
    <w:p>
      <w:pPr>
        <w:spacing w:line="600" w:lineRule="exact"/>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以上所提供的材料，授权证书、</w:t>
      </w:r>
      <w:r>
        <w:rPr>
          <w:rFonts w:hint="eastAsia" w:ascii="仿宋_GB2312" w:eastAsia="仿宋_GB2312"/>
          <w:color w:val="000000"/>
          <w:sz w:val="32"/>
          <w:szCs w:val="32"/>
        </w:rPr>
        <w:t>企业营业执照、事业法人登记证、社团体法人登记证及个人身份证件</w:t>
      </w:r>
      <w:r>
        <w:rPr>
          <w:rFonts w:hint="eastAsia" w:ascii="仿宋_GB2312" w:hAnsi="黑体" w:eastAsia="仿宋_GB2312"/>
          <w:color w:val="000000"/>
          <w:sz w:val="32"/>
          <w:szCs w:val="32"/>
        </w:rPr>
        <w:t>原件均不装订，递交材料时经省辖市、省直管县（市）知识产权相关部门审验后退回。</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三、材料的装订。</w:t>
      </w:r>
    </w:p>
    <w:p>
      <w:pPr>
        <w:spacing w:line="600" w:lineRule="exact"/>
        <w:ind w:firstLine="640" w:firstLineChars="200"/>
        <w:rPr>
          <w:rFonts w:ascii="方正小标宋简体" w:eastAsia="方正小标宋简体"/>
          <w:color w:val="000000"/>
          <w:sz w:val="44"/>
          <w:szCs w:val="44"/>
        </w:rPr>
      </w:pPr>
      <w:r>
        <w:rPr>
          <w:rFonts w:hint="eastAsia" w:ascii="仿宋_GB2312" w:hAnsi="黑体" w:eastAsia="仿宋_GB2312"/>
          <w:color w:val="000000"/>
          <w:sz w:val="32"/>
          <w:szCs w:val="32"/>
        </w:rPr>
        <w:t>按照材料清单、</w:t>
      </w:r>
      <w:r>
        <w:rPr>
          <w:rFonts w:hint="eastAsia" w:ascii="仿宋_GB2312" w:eastAsia="仿宋_GB2312"/>
          <w:color w:val="000000"/>
          <w:sz w:val="32"/>
          <w:szCs w:val="32"/>
        </w:rPr>
        <w:t>河南省国外申请专利资助申请汇总表、</w:t>
      </w:r>
      <w:r>
        <w:rPr>
          <w:rFonts w:hint="eastAsia" w:ascii="仿宋_GB2312" w:hAnsi="黑体" w:eastAsia="仿宋_GB2312"/>
          <w:color w:val="000000"/>
          <w:sz w:val="32"/>
          <w:szCs w:val="32"/>
        </w:rPr>
        <w:t>河南省国外申请专利资助申请表、有关证明文件的顺序依次排列，按照排列顺序依次在右下角用笔标注页码（页码与材料清单一致）；每份报送材料按照上述整理顺序，依次装订成一本或多本，装入加厚的牛皮纸档案袋中，档案袋上注明：报送单位名称（或个人姓名）、联系人和联系方式。</w:t>
      </w:r>
    </w:p>
    <w:p>
      <w:pPr>
        <w:pStyle w:val="19"/>
        <w:spacing w:line="600" w:lineRule="exact"/>
        <w:ind w:left="1360" w:firstLine="0" w:firstLineChars="0"/>
        <w:rPr>
          <w:rFonts w:ascii="仿宋_GB2312" w:eastAsia="仿宋_GB2312"/>
          <w:color w:val="000000"/>
          <w:sz w:val="32"/>
          <w:szCs w:val="32"/>
        </w:rPr>
      </w:pPr>
    </w:p>
    <w:p>
      <w:pPr>
        <w:spacing w:line="600" w:lineRule="exact"/>
        <w:jc w:val="left"/>
        <w:rPr>
          <w:rFonts w:hint="eastAsia" w:ascii="黑体" w:eastAsia="黑体"/>
          <w:color w:val="000000"/>
          <w:sz w:val="32"/>
          <w:szCs w:val="32"/>
        </w:rPr>
      </w:pPr>
    </w:p>
    <w:p>
      <w:pPr>
        <w:spacing w:line="600" w:lineRule="exact"/>
        <w:jc w:val="left"/>
        <w:rPr>
          <w:rFonts w:hint="eastAsia" w:ascii="黑体" w:eastAsia="黑体"/>
          <w:color w:val="000000"/>
          <w:sz w:val="32"/>
          <w:szCs w:val="32"/>
        </w:rPr>
      </w:pPr>
    </w:p>
    <w:p>
      <w:pPr>
        <w:spacing w:line="600" w:lineRule="exact"/>
        <w:jc w:val="left"/>
        <w:rPr>
          <w:rFonts w:hint="eastAsia" w:ascii="黑体" w:eastAsia="黑体"/>
          <w:color w:val="000000"/>
          <w:sz w:val="32"/>
          <w:szCs w:val="32"/>
        </w:rPr>
      </w:pPr>
    </w:p>
    <w:p>
      <w:pPr>
        <w:spacing w:line="600" w:lineRule="exact"/>
        <w:jc w:val="left"/>
        <w:rPr>
          <w:rFonts w:hint="eastAsia" w:ascii="黑体" w:eastAsia="黑体"/>
          <w:color w:val="000000"/>
          <w:sz w:val="32"/>
          <w:szCs w:val="32"/>
        </w:rPr>
      </w:pPr>
    </w:p>
    <w:p>
      <w:pPr>
        <w:spacing w:beforeLines="100" w:line="0" w:lineRule="atLeast"/>
        <w:rPr>
          <w:rFonts w:hint="eastAsia" w:ascii="仿宋_GB2312" w:hAnsi="文星仿宋" w:eastAsia="仿宋_GB2312"/>
          <w:color w:val="000000"/>
          <w:sz w:val="28"/>
          <w:szCs w:val="28"/>
          <w:lang w:val="en-US" w:eastAsia="zh-CN"/>
        </w:rPr>
      </w:pPr>
    </w:p>
    <w:p>
      <w:pPr>
        <w:spacing w:line="440" w:lineRule="exact"/>
        <w:ind w:firstLine="640" w:firstLineChars="200"/>
        <w:rPr>
          <w:rFonts w:hint="eastAsia" w:ascii="仿宋_GB2312" w:hAnsi="Times New Roman" w:eastAsia="仿宋_GB2312"/>
          <w:sz w:val="32"/>
          <w:szCs w:val="32"/>
          <w:lang w:val="en-US"/>
        </w:rPr>
      </w:pPr>
    </w:p>
    <w:p>
      <w:pPr>
        <w:spacing w:line="440" w:lineRule="exact"/>
        <w:ind w:firstLine="640" w:firstLineChars="200"/>
        <w:rPr>
          <w:rFonts w:hint="eastAsia" w:ascii="仿宋_GB2312" w:hAnsi="Times New Roman" w:eastAsia="仿宋_GB2312"/>
          <w:sz w:val="32"/>
          <w:szCs w:val="32"/>
        </w:rPr>
      </w:pPr>
    </w:p>
    <w:p>
      <w:pPr>
        <w:spacing w:line="440" w:lineRule="exact"/>
        <w:ind w:firstLine="640" w:firstLineChars="200"/>
        <w:rPr>
          <w:rFonts w:hint="eastAsia" w:ascii="仿宋_GB2312" w:hAnsi="Times New Roman" w:eastAsia="仿宋_GB2312"/>
          <w:sz w:val="32"/>
          <w:szCs w:val="32"/>
        </w:rPr>
      </w:pPr>
    </w:p>
    <w:p>
      <w:pPr>
        <w:spacing w:line="440" w:lineRule="exact"/>
        <w:ind w:firstLine="640" w:firstLineChars="200"/>
        <w:rPr>
          <w:rFonts w:hint="eastAsia" w:ascii="仿宋_GB2312" w:hAnsi="Times New Roman" w:eastAsia="仿宋_GB2312"/>
          <w:sz w:val="32"/>
          <w:szCs w:val="32"/>
        </w:rPr>
      </w:pPr>
    </w:p>
    <w:p>
      <w:pPr>
        <w:pStyle w:val="24"/>
        <w:tabs>
          <w:tab w:val="clear" w:pos="795"/>
        </w:tabs>
        <w:ind w:left="0" w:leftChars="0" w:firstLine="0" w:firstLineChars="0"/>
        <w:rPr>
          <w:color w:val="000000"/>
          <w:sz w:val="28"/>
          <w:szCs w:val="28"/>
        </w:rPr>
      </w:pPr>
      <w:bookmarkStart w:id="0" w:name="_GoBack"/>
      <w:bookmarkEnd w:id="0"/>
    </w:p>
    <w:sectPr>
      <w:headerReference r:id="rId4" w:type="default"/>
      <w:footerReference r:id="rId6" w:type="default"/>
      <w:headerReference r:id="rId5" w:type="even"/>
      <w:footerReference r:id="rId7" w:type="even"/>
      <w:pgSz w:w="11906" w:h="16838"/>
      <w:pgMar w:top="1531" w:right="1531" w:bottom="1474" w:left="1531" w:header="851" w:footer="1247" w:gutter="0"/>
      <w:cols w:space="720" w:num="1"/>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仿宋_GBK">
    <w:altName w:val="微软雅黑"/>
    <w:panose1 w:val="00000000000000000000"/>
    <w:charset w:val="86"/>
    <w:family w:val="auto"/>
    <w:pitch w:val="default"/>
    <w:sig w:usb0="00000000" w:usb1="00000000" w:usb2="00000010" w:usb3="00000000" w:csb0="003C0041" w:csb1="00000000"/>
  </w:font>
  <w:font w:name="仿宋_GB2312">
    <w:altName w:val="仿宋"/>
    <w:panose1 w:val="02010609030101010101"/>
    <w:charset w:val="86"/>
    <w:family w:val="auto"/>
    <w:pitch w:val="default"/>
    <w:sig w:usb0="00000001" w:usb1="080E0000" w:usb2="00000010" w:usb3="00000000" w:csb0="00040000" w:csb1="00000000"/>
  </w:font>
  <w:font w:name="ST Song">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文星仿宋">
    <w:altName w:val="微软雅黑"/>
    <w:panose1 w:val="00000000000000000000"/>
    <w:charset w:val="86"/>
    <w:family w:val="auto"/>
    <w:pitch w:val="default"/>
    <w:sig w:usb0="00000003" w:usb1="080E0000" w:usb2="00000010" w:usb3="00000000" w:csb0="00040001" w:csb1="00000000"/>
  </w:font>
  <w:font w:name="方正小标宋简体">
    <w:altName w:val="微软雅黑"/>
    <w:panose1 w:val="02010601030101010101"/>
    <w:charset w:val="86"/>
    <w:family w:val="auto"/>
    <w:pitch w:val="default"/>
    <w:sig w:usb0="00000001" w:usb1="080E0000" w:usb2="00000010" w:usb3="00000000" w:csb0="00040000" w:csb1="00000000"/>
  </w:font>
  <w:font w:name="方正小标宋_GBK">
    <w:altName w:val="微软雅黑"/>
    <w:panose1 w:val="00000000000000000000"/>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wordWrap w:val="0"/>
      <w:jc w:val="right"/>
      <w:rPr>
        <w:rFonts w:ascii="宋体" w:hAnsi="宋体"/>
        <w:sz w:val="28"/>
        <w:szCs w:val="28"/>
      </w:rPr>
    </w:pPr>
    <w:r>
      <w:rPr>
        <w:rFonts w:hint="eastAsia" w:ascii="宋体" w:hAnsi="宋体"/>
        <w:sz w:val="28"/>
        <w:szCs w:val="28"/>
      </w:rPr>
      <w:t>一</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rPr>
        <w:rFonts w:ascii="宋体" w:hAnsi="宋体"/>
        <w:sz w:val="28"/>
        <w:szCs w:val="28"/>
      </w:rPr>
    </w:pPr>
    <w:r>
      <w:rPr>
        <w:rFonts w:hint="eastAsia" w:ascii="宋体" w:hAnsi="宋体"/>
        <w:sz w:val="28"/>
        <w:szCs w:val="28"/>
      </w:rPr>
      <w:t>一</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一</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multilevel"/>
    <w:tmpl w:val="0000000A"/>
    <w:lvl w:ilvl="0" w:tentative="1">
      <w:start w:val="1"/>
      <w:numFmt w:val="japaneseCounting"/>
      <w:lvlText w:val="%1、"/>
      <w:lvlJc w:val="left"/>
      <w:pPr>
        <w:ind w:left="1360" w:hanging="720"/>
      </w:pPr>
      <w:rPr>
        <w:rFonts w:hint="default" w:ascii="黑体" w:hAnsi="黑体" w:eastAsia="黑体"/>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3"/>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tyle>
  <w:style w:type="character" w:customStyle="1" w:styleId="3">
    <w:name w:val="标题 2 Char"/>
    <w:link w:val="2"/>
    <w:semiHidden/>
    <w:rPr>
      <w:rFonts w:ascii="Cambria" w:hAnsi="Cambria" w:eastAsia="宋体" w:cs="Times New Roman"/>
      <w:b/>
      <w:bCs/>
      <w:sz w:val="32"/>
      <w:szCs w:val="32"/>
    </w:rPr>
  </w:style>
  <w:style w:type="paragraph" w:styleId="4">
    <w:name w:val="annotation text"/>
    <w:basedOn w:val="1"/>
    <w:link w:val="5"/>
    <w:pPr>
      <w:jc w:val="left"/>
    </w:pPr>
    <w:rPr>
      <w:szCs w:val="24"/>
    </w:rPr>
  </w:style>
  <w:style w:type="character" w:customStyle="1" w:styleId="5">
    <w:name w:val="批注文字 Char"/>
    <w:link w:val="4"/>
    <w:semiHidden/>
    <w:rPr>
      <w:szCs w:val="24"/>
    </w:rPr>
  </w:style>
  <w:style w:type="paragraph" w:styleId="6">
    <w:name w:val="Body Text"/>
    <w:basedOn w:val="1"/>
    <w:link w:val="7"/>
    <w:pPr>
      <w:autoSpaceDE w:val="0"/>
      <w:autoSpaceDN w:val="0"/>
      <w:jc w:val="left"/>
    </w:pPr>
    <w:rPr>
      <w:rFonts w:ascii="PMingLiU" w:hAnsi="PMingLiU" w:eastAsia="PMingLiU" w:cs="PMingLiU"/>
      <w:sz w:val="44"/>
      <w:szCs w:val="44"/>
      <w:lang w:val="zh-CN" w:bidi="zh-CN"/>
    </w:rPr>
  </w:style>
  <w:style w:type="character" w:customStyle="1" w:styleId="7">
    <w:name w:val="正文文本 Char"/>
    <w:basedOn w:val="8"/>
    <w:link w:val="6"/>
    <w:semiHidden/>
    <w:rPr>
      <w:rFonts w:ascii="PMingLiU" w:hAnsi="PMingLiU" w:eastAsia="PMingLiU" w:cs="PMingLiU"/>
      <w:sz w:val="44"/>
      <w:szCs w:val="44"/>
      <w:lang w:val="zh-CN" w:bidi="zh-CN"/>
    </w:rPr>
  </w:style>
  <w:style w:type="character" w:customStyle="1" w:styleId="9">
    <w:name w:val="日期 Char"/>
    <w:basedOn w:val="8"/>
    <w:link w:val="10"/>
    <w:semiHidden/>
    <w:rPr/>
  </w:style>
  <w:style w:type="paragraph" w:customStyle="1" w:styleId="10">
    <w:name w:val="Date"/>
    <w:basedOn w:val="1"/>
    <w:next w:val="1"/>
    <w:link w:val="9"/>
    <w:pPr>
      <w:ind w:left="100" w:leftChars="2500"/>
    </w:pPr>
  </w:style>
  <w:style w:type="paragraph" w:styleId="11">
    <w:name w:val="footer"/>
    <w:basedOn w:val="1"/>
    <w:link w:val="12"/>
    <w:pPr>
      <w:tabs>
        <w:tab w:val="center" w:pos="4153"/>
        <w:tab w:val="right" w:pos="8306"/>
      </w:tabs>
      <w:snapToGrid w:val="0"/>
      <w:jc w:val="left"/>
    </w:pPr>
    <w:rPr>
      <w:sz w:val="18"/>
      <w:szCs w:val="18"/>
    </w:rPr>
  </w:style>
  <w:style w:type="character" w:customStyle="1" w:styleId="12">
    <w:name w:val="页脚 Char"/>
    <w:link w:val="11"/>
    <w:semiHidden/>
    <w:rPr>
      <w:sz w:val="18"/>
      <w:szCs w:val="18"/>
    </w:rPr>
  </w:style>
  <w:style w:type="paragraph" w:styleId="13">
    <w:name w:val="header"/>
    <w:basedOn w:val="1"/>
    <w:link w:val="14"/>
    <w:pPr>
      <w:pBdr>
        <w:bottom w:val="single" w:color="auto" w:sz="6" w:space="1"/>
      </w:pBdr>
      <w:tabs>
        <w:tab w:val="center" w:pos="4153"/>
        <w:tab w:val="right" w:pos="8306"/>
      </w:tabs>
      <w:snapToGrid w:val="0"/>
      <w:jc w:val="center"/>
    </w:pPr>
    <w:rPr>
      <w:sz w:val="18"/>
      <w:szCs w:val="18"/>
    </w:rPr>
  </w:style>
  <w:style w:type="character" w:customStyle="1" w:styleId="14">
    <w:name w:val="页眉 Char"/>
    <w:link w:val="13"/>
    <w:semiHidden/>
    <w:rPr>
      <w:sz w:val="18"/>
      <w:szCs w:val="18"/>
    </w:rPr>
  </w:style>
  <w:style w:type="character" w:styleId="15">
    <w:name w:val="Strong"/>
    <w:rPr>
      <w:b/>
      <w:bCs/>
    </w:rPr>
  </w:style>
  <w:style w:type="character" w:styleId="16">
    <w:name w:val="Hyperlink"/>
    <w:rPr>
      <w:color w:val="0000FF"/>
      <w:u w:val="single"/>
    </w:rPr>
  </w:style>
  <w:style w:type="paragraph" w:customStyle="1" w:styleId="17">
    <w:name w:val="批注框文本 Char Char"/>
    <w:basedOn w:val="1"/>
    <w:link w:val="27"/>
    <w:rPr>
      <w:sz w:val="2"/>
      <w:szCs w:val="2"/>
    </w:rPr>
  </w:style>
  <w:style w:type="paragraph" w:customStyle="1" w:styleId="18">
    <w:name w:val="Normal (Web)"/>
    <w:basedOn w:val="1"/>
    <w:pPr>
      <w:widowControl/>
      <w:spacing w:before="100" w:beforeAutospacing="1" w:after="100" w:afterAutospacing="1"/>
      <w:jc w:val="left"/>
    </w:pPr>
    <w:rPr>
      <w:rFonts w:ascii="宋体" w:hAnsi="宋体" w:cs="Times New Roman"/>
      <w:kern w:val="0"/>
      <w:sz w:val="24"/>
      <w:szCs w:val="24"/>
    </w:rPr>
  </w:style>
  <w:style w:type="paragraph" w:customStyle="1" w:styleId="19">
    <w:name w:val="List Paragraph"/>
    <w:basedOn w:val="1"/>
    <w:pPr>
      <w:ind w:firstLine="420" w:firstLineChars="200"/>
    </w:pPr>
  </w:style>
  <w:style w:type="paragraph" w:customStyle="1" w:styleId="20">
    <w:name w:val="Char"/>
    <w:basedOn w:val="1"/>
    <w:rPr>
      <w:rFonts w:ascii="Times New Roman" w:hAnsi="Times New Roman" w:eastAsia="方正仿宋_GBK" w:cs="Times New Roman"/>
      <w:sz w:val="32"/>
      <w:szCs w:val="32"/>
    </w:rPr>
  </w:style>
  <w:style w:type="paragraph" w:customStyle="1" w:styleId="21">
    <w:name w:val="Char Char1"/>
    <w:basedOn w:val="1"/>
    <w:pPr>
      <w:snapToGrid w:val="0"/>
      <w:spacing w:line="360" w:lineRule="auto"/>
      <w:ind w:firstLine="200" w:firstLineChars="200"/>
    </w:pPr>
    <w:rPr>
      <w:rFonts w:ascii="Times New Roman" w:hAnsi="Times New Roman" w:cs="Times New Roman"/>
    </w:rPr>
  </w:style>
  <w:style w:type="paragraph" w:customStyle="1" w:styleId="22">
    <w:name w:val="Char Char Char Char Char Char Char Char Char Char"/>
    <w:basedOn w:val="1"/>
    <w:pPr>
      <w:ind w:left="1680" w:firstLine="196" w:firstLineChars="70"/>
    </w:pPr>
    <w:rPr>
      <w:rFonts w:ascii="仿宋_GB2312" w:hAnsi="Times New Roman" w:eastAsia="仿宋_GB2312" w:cs="仿宋_GB2312"/>
      <w:sz w:val="28"/>
      <w:szCs w:val="28"/>
    </w:rPr>
  </w:style>
  <w:style w:type="paragraph" w:customStyle="1" w:styleId="23">
    <w:name w:val="Default"/>
    <w:pPr>
      <w:widowControl w:val="0"/>
      <w:autoSpaceDE w:val="0"/>
      <w:autoSpaceDN w:val="0"/>
      <w:adjustRightInd w:val="0"/>
    </w:pPr>
    <w:rPr>
      <w:rFonts w:ascii="ST Song" w:hAnsi="Times New Roman" w:eastAsia="ST Song"/>
      <w:color w:val="000000"/>
      <w:sz w:val="24"/>
    </w:rPr>
  </w:style>
  <w:style w:type="paragraph" w:customStyle="1" w:styleId="24">
    <w:name w:val="Char Char Char"/>
    <w:basedOn w:val="1"/>
    <w:pPr>
      <w:tabs>
        <w:tab w:val="left" w:pos="795"/>
        <w:tab w:val="left" w:pos="907"/>
      </w:tabs>
      <w:ind w:left="795" w:hanging="360"/>
    </w:pPr>
    <w:rPr>
      <w:rFonts w:ascii="仿宋_GB2312" w:hAnsi="Times New Roman" w:eastAsia="仿宋_GB2312" w:cs="Times New Roman"/>
      <w:spacing w:val="-4"/>
      <w:sz w:val="32"/>
      <w:szCs w:val="20"/>
    </w:rPr>
  </w:style>
  <w:style w:type="paragraph" w:customStyle="1" w:styleId="25">
    <w:name w:val="_Style 2"/>
    <w:basedOn w:val="1"/>
    <w:pPr>
      <w:ind w:firstLine="196" w:firstLineChars="70"/>
    </w:pPr>
    <w:rPr>
      <w:rFonts w:ascii="仿宋_GB2312" w:hAnsi="Times New Roman" w:eastAsia="仿宋_GB2312" w:cs="Times New Roman"/>
      <w:sz w:val="28"/>
      <w:szCs w:val="28"/>
    </w:rPr>
  </w:style>
  <w:style w:type="paragraph" w:customStyle="1" w:styleId="26">
    <w:name w:val="Table Paragraph"/>
    <w:basedOn w:val="1"/>
    <w:rPr>
      <w:rFonts w:ascii="仿宋_GB2312" w:hAnsi="仿宋_GB2312" w:eastAsia="仿宋_GB2312" w:cs="仿宋_GB2312"/>
      <w:szCs w:val="24"/>
      <w:lang w:val="zh-CN" w:bidi="zh-CN"/>
    </w:rPr>
  </w:style>
  <w:style w:type="character" w:customStyle="1" w:styleId="27">
    <w:name w:val="批注框文本 Char Char Char"/>
    <w:link w:val="17"/>
    <w:semiHidden/>
    <w:rPr>
      <w:sz w:val="2"/>
      <w:szCs w:val="2"/>
    </w:rPr>
  </w:style>
  <w:style w:type="character" w:customStyle="1" w:styleId="28">
    <w:name w:val="批注文字 Char1"/>
    <w:rPr>
      <w:rFonts w:cs="Calibri"/>
      <w:kern w:val="2"/>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544</Words>
  <Characters>3106</Characters>
  <Lines>25</Lines>
  <Paragraphs>7</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2020-06-18T00:23:00Z</dcterms:created>
  <dc:creator>Administrator</dc:creator>
  <cp:lastPrinted>2020-06-18T00:47:00Z</cp:lastPrinted>
  <dcterms:modified xsi:type="dcterms:W3CDTF">2020-06-18T09:45:32Z</dcterms:modified>
  <dc:title>豫知函〔2016〕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